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B3" w:rsidRPr="00485C77" w:rsidRDefault="001655B3" w:rsidP="001655B3">
      <w:pPr>
        <w:rPr>
          <w:rFonts w:ascii="Arial" w:hAnsi="Arial" w:cs="Arial"/>
          <w:b/>
          <w:sz w:val="20"/>
          <w:szCs w:val="20"/>
          <w:u w:val="single"/>
        </w:rPr>
      </w:pPr>
      <w:r w:rsidRPr="00485C77">
        <w:rPr>
          <w:rFonts w:ascii="Arial" w:hAnsi="Arial" w:cs="Arial"/>
          <w:b/>
          <w:sz w:val="20"/>
          <w:szCs w:val="20"/>
          <w:u w:val="single"/>
        </w:rPr>
        <w:t>READ ME</w:t>
      </w:r>
    </w:p>
    <w:p w:rsidR="001655B3" w:rsidRPr="00485C77" w:rsidRDefault="001655B3" w:rsidP="001655B3">
      <w:pPr>
        <w:rPr>
          <w:rFonts w:ascii="Arial" w:hAnsi="Arial" w:cs="Arial"/>
          <w:sz w:val="20"/>
          <w:szCs w:val="20"/>
        </w:rPr>
      </w:pPr>
    </w:p>
    <w:p w:rsidR="001655B3" w:rsidRPr="00485C77" w:rsidRDefault="001655B3" w:rsidP="001655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Cs w:val="20"/>
          <w:u w:val="single"/>
        </w:rPr>
      </w:pPr>
      <w:r w:rsidRPr="00485C77">
        <w:rPr>
          <w:rFonts w:cs="Arial"/>
          <w:b/>
          <w:color w:val="000000"/>
          <w:szCs w:val="20"/>
          <w:u w:val="single"/>
        </w:rPr>
        <w:t>USGS Disclaimers</w:t>
      </w:r>
    </w:p>
    <w:p w:rsidR="001655B3" w:rsidRPr="00485C77" w:rsidRDefault="001655B3" w:rsidP="001655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485C77">
        <w:rPr>
          <w:szCs w:val="20"/>
        </w:rPr>
        <w:t>References to non</w:t>
      </w:r>
      <w:r w:rsidRPr="00485C77">
        <w:rPr>
          <w:szCs w:val="20"/>
        </w:rPr>
        <w:noBreakHyphen/>
        <w:t>USGS products and services are provided for information only and do not constitute endorsement or warranty, express or implied, by the USGS, USDOI, or U.S. Government, as to their suitability, content, usefulness, functioning, completeness, or accuracy.</w:t>
      </w:r>
    </w:p>
    <w:p w:rsidR="001655B3" w:rsidRPr="00485C77" w:rsidRDefault="001655B3" w:rsidP="001655B3">
      <w:pPr>
        <w:rPr>
          <w:rFonts w:ascii="Arial" w:hAnsi="Arial" w:cs="Arial"/>
          <w:color w:val="000000"/>
          <w:sz w:val="20"/>
          <w:szCs w:val="20"/>
        </w:rPr>
      </w:pPr>
    </w:p>
    <w:p w:rsidR="001655B3" w:rsidRPr="00485C77" w:rsidRDefault="001655B3" w:rsidP="001655B3">
      <w:pPr>
        <w:rPr>
          <w:rFonts w:ascii="Arial" w:hAnsi="Arial" w:cs="Arial"/>
          <w:sz w:val="20"/>
          <w:szCs w:val="20"/>
        </w:rPr>
      </w:pPr>
      <w:r w:rsidRPr="00485C77">
        <w:rPr>
          <w:rFonts w:ascii="Arial" w:hAnsi="Arial" w:cs="Arial"/>
          <w:sz w:val="20"/>
          <w:szCs w:val="20"/>
        </w:rPr>
        <w:t>The furnished computer programs and scripts are accepted and used by the recipient individual or group entity with the express understanding that the United States Government makes no warranties, expressed of implied, concerning the accuracy, completeness, reliability, usability, or suitability for any particular purpose of the information or data contained in the programs, or furnished in to any such individual or group entity by reason of use thereof.</w:t>
      </w:r>
    </w:p>
    <w:p w:rsidR="001655B3" w:rsidRPr="00485C77" w:rsidRDefault="001655B3">
      <w:pPr>
        <w:rPr>
          <w:sz w:val="20"/>
          <w:szCs w:val="20"/>
        </w:rPr>
      </w:pPr>
    </w:p>
    <w:p w:rsidR="001655B3" w:rsidRPr="00485C77" w:rsidRDefault="001655B3">
      <w:pPr>
        <w:rPr>
          <w:rFonts w:ascii="Arial" w:hAnsi="Arial" w:cs="Arial"/>
          <w:b/>
          <w:sz w:val="20"/>
          <w:szCs w:val="20"/>
          <w:u w:val="single"/>
        </w:rPr>
      </w:pPr>
      <w:r w:rsidRPr="00485C77">
        <w:rPr>
          <w:rFonts w:ascii="Arial" w:hAnsi="Arial" w:cs="Arial"/>
          <w:b/>
          <w:sz w:val="20"/>
          <w:szCs w:val="20"/>
          <w:u w:val="single"/>
        </w:rPr>
        <w:t>Dasymetric Mapping</w:t>
      </w:r>
      <w:r w:rsidR="009D1E73" w:rsidRPr="00485C77">
        <w:rPr>
          <w:rFonts w:ascii="Arial" w:hAnsi="Arial" w:cs="Arial"/>
          <w:b/>
          <w:sz w:val="20"/>
          <w:szCs w:val="20"/>
          <w:u w:val="single"/>
        </w:rPr>
        <w:t xml:space="preserve"> and Areal Interpolation</w:t>
      </w:r>
      <w:r w:rsidRPr="00485C77">
        <w:rPr>
          <w:rFonts w:ascii="Arial" w:hAnsi="Arial" w:cs="Arial"/>
          <w:b/>
          <w:sz w:val="20"/>
          <w:szCs w:val="20"/>
          <w:u w:val="single"/>
        </w:rPr>
        <w:t xml:space="preserve"> – </w:t>
      </w:r>
      <w:r w:rsidR="00B0086E">
        <w:rPr>
          <w:rFonts w:ascii="Arial" w:hAnsi="Arial" w:cs="Arial"/>
          <w:b/>
          <w:sz w:val="20"/>
          <w:szCs w:val="20"/>
          <w:u w:val="single"/>
        </w:rPr>
        <w:t>Definition and Purpose</w:t>
      </w:r>
    </w:p>
    <w:p w:rsidR="001655B3" w:rsidRPr="00485C77" w:rsidRDefault="001655B3">
      <w:pPr>
        <w:rPr>
          <w:rFonts w:ascii="Arial" w:hAnsi="Arial" w:cs="Arial"/>
          <w:sz w:val="20"/>
          <w:szCs w:val="20"/>
        </w:rPr>
      </w:pPr>
      <w:r w:rsidRPr="00485C77">
        <w:rPr>
          <w:rFonts w:ascii="Arial" w:hAnsi="Arial" w:cs="Arial"/>
          <w:sz w:val="20"/>
          <w:szCs w:val="20"/>
        </w:rPr>
        <w:t>There are problems associated with mapping</w:t>
      </w:r>
      <w:r w:rsidR="00E9731B" w:rsidRPr="00485C77">
        <w:rPr>
          <w:rFonts w:ascii="Arial" w:hAnsi="Arial" w:cs="Arial"/>
          <w:sz w:val="20"/>
          <w:szCs w:val="20"/>
        </w:rPr>
        <w:t xml:space="preserve"> demographic data by administrative areal units such as census boundaries. A choropleth mapping representation gives the impression that population is distributed homogenously throughout the areal unit, even when portions of the areal unit are uninhabited. </w:t>
      </w:r>
      <w:r w:rsidR="000C357B" w:rsidRPr="00485C77">
        <w:rPr>
          <w:rFonts w:ascii="Arial" w:hAnsi="Arial" w:cs="Arial"/>
          <w:sz w:val="20"/>
          <w:szCs w:val="20"/>
        </w:rPr>
        <w:t>Dasymetric mapping</w:t>
      </w:r>
      <w:r w:rsidR="00292B61">
        <w:rPr>
          <w:rFonts w:ascii="Arial" w:hAnsi="Arial" w:cs="Arial"/>
          <w:sz w:val="20"/>
          <w:szCs w:val="20"/>
        </w:rPr>
        <w:t>,</w:t>
      </w:r>
      <w:r w:rsidR="00C969F0" w:rsidRPr="00485C77">
        <w:rPr>
          <w:rFonts w:ascii="Arial" w:hAnsi="Arial" w:cs="Arial"/>
          <w:sz w:val="20"/>
          <w:szCs w:val="20"/>
        </w:rPr>
        <w:t xml:space="preserve"> as a solution</w:t>
      </w:r>
      <w:r w:rsidR="00292B61">
        <w:rPr>
          <w:rFonts w:ascii="Arial" w:hAnsi="Arial" w:cs="Arial"/>
          <w:sz w:val="20"/>
          <w:szCs w:val="20"/>
        </w:rPr>
        <w:t>,</w:t>
      </w:r>
      <w:r w:rsidR="000C357B" w:rsidRPr="00485C77">
        <w:rPr>
          <w:rFonts w:ascii="Arial" w:hAnsi="Arial" w:cs="Arial"/>
          <w:sz w:val="20"/>
          <w:szCs w:val="20"/>
        </w:rPr>
        <w:t xml:space="preserve"> is a </w:t>
      </w:r>
      <w:r w:rsidR="000A2639" w:rsidRPr="00485C77">
        <w:rPr>
          <w:rFonts w:ascii="Arial" w:hAnsi="Arial" w:cs="Arial"/>
          <w:sz w:val="20"/>
          <w:szCs w:val="20"/>
        </w:rPr>
        <w:t>type</w:t>
      </w:r>
      <w:r w:rsidR="000C357B" w:rsidRPr="00485C77">
        <w:rPr>
          <w:rFonts w:ascii="Arial" w:hAnsi="Arial" w:cs="Arial"/>
          <w:sz w:val="20"/>
          <w:szCs w:val="20"/>
        </w:rPr>
        <w:t xml:space="preserve"> of areal interpolation where data from one set of geographic source zones are transferred to a set of target zones based on ancillary information used to aid the interpolation.</w:t>
      </w:r>
      <w:r w:rsidR="00C969F0" w:rsidRPr="00485C77">
        <w:rPr>
          <w:rFonts w:ascii="Arial" w:hAnsi="Arial" w:cs="Arial"/>
          <w:sz w:val="20"/>
          <w:szCs w:val="20"/>
        </w:rPr>
        <w:t xml:space="preserve"> </w:t>
      </w:r>
      <w:r w:rsidR="00B20B40">
        <w:rPr>
          <w:rFonts w:ascii="Arial" w:hAnsi="Arial" w:cs="Arial"/>
          <w:sz w:val="20"/>
          <w:szCs w:val="20"/>
        </w:rPr>
        <w:t>The following application interpolates census data to a surface representation of population density (population/grid cell) based on the principles listed below.</w:t>
      </w:r>
    </w:p>
    <w:p w:rsidR="001655B3" w:rsidRPr="00485C77" w:rsidRDefault="001655B3">
      <w:pPr>
        <w:rPr>
          <w:rFonts w:ascii="Arial" w:hAnsi="Arial" w:cs="Arial"/>
          <w:b/>
          <w:sz w:val="20"/>
          <w:szCs w:val="20"/>
          <w:u w:val="single"/>
        </w:rPr>
      </w:pPr>
    </w:p>
    <w:p w:rsidR="001655B3" w:rsidRPr="00485C77" w:rsidRDefault="001655B3">
      <w:pPr>
        <w:rPr>
          <w:rFonts w:ascii="Arial" w:hAnsi="Arial" w:cs="Arial"/>
          <w:b/>
          <w:sz w:val="20"/>
          <w:szCs w:val="20"/>
          <w:u w:val="single"/>
        </w:rPr>
      </w:pPr>
      <w:r w:rsidRPr="00485C77">
        <w:rPr>
          <w:rFonts w:ascii="Arial" w:hAnsi="Arial" w:cs="Arial"/>
          <w:b/>
          <w:sz w:val="20"/>
          <w:szCs w:val="20"/>
          <w:u w:val="single"/>
        </w:rPr>
        <w:t>Dasymetric Mapping Tool - Software Capabilities</w:t>
      </w:r>
      <w:r w:rsidR="00386DBA">
        <w:rPr>
          <w:rFonts w:ascii="Arial" w:hAnsi="Arial" w:cs="Arial"/>
          <w:b/>
          <w:sz w:val="20"/>
          <w:szCs w:val="20"/>
          <w:u w:val="single"/>
        </w:rPr>
        <w:t xml:space="preserve"> and Usage</w:t>
      </w:r>
    </w:p>
    <w:p w:rsidR="00087825" w:rsidRPr="007E6191" w:rsidRDefault="004C57D9">
      <w:pPr>
        <w:rPr>
          <w:rFonts w:ascii="Arial" w:hAnsi="Arial" w:cs="Arial"/>
          <w:b/>
          <w:sz w:val="20"/>
          <w:szCs w:val="20"/>
        </w:rPr>
      </w:pPr>
      <w:r w:rsidRPr="007E6191">
        <w:rPr>
          <w:rFonts w:ascii="Arial" w:hAnsi="Arial" w:cs="Arial"/>
          <w:b/>
          <w:sz w:val="20"/>
          <w:szCs w:val="20"/>
        </w:rPr>
        <w:t>Input Data</w:t>
      </w:r>
      <w:r w:rsidR="0087783D" w:rsidRPr="007E6191">
        <w:rPr>
          <w:rFonts w:ascii="Arial" w:hAnsi="Arial" w:cs="Arial"/>
          <w:b/>
          <w:sz w:val="20"/>
          <w:szCs w:val="20"/>
        </w:rPr>
        <w:t xml:space="preserve"> Needs</w:t>
      </w:r>
      <w:r w:rsidRPr="007E6191">
        <w:rPr>
          <w:rFonts w:ascii="Arial" w:hAnsi="Arial" w:cs="Arial"/>
          <w:b/>
          <w:sz w:val="20"/>
          <w:szCs w:val="20"/>
        </w:rPr>
        <w:t xml:space="preserve">: </w:t>
      </w:r>
    </w:p>
    <w:p w:rsidR="00C06128" w:rsidRDefault="004C57D9" w:rsidP="00C06128">
      <w:pPr>
        <w:numPr>
          <w:ilvl w:val="0"/>
          <w:numId w:val="1"/>
        </w:numPr>
        <w:rPr>
          <w:rFonts w:ascii="Arial" w:hAnsi="Arial" w:cs="Arial"/>
          <w:sz w:val="20"/>
          <w:szCs w:val="20"/>
        </w:rPr>
      </w:pPr>
      <w:r>
        <w:rPr>
          <w:rFonts w:ascii="Arial" w:hAnsi="Arial" w:cs="Arial"/>
          <w:sz w:val="20"/>
          <w:szCs w:val="20"/>
        </w:rPr>
        <w:t xml:space="preserve">Population Layer – Any </w:t>
      </w:r>
      <w:r w:rsidR="00C06128">
        <w:rPr>
          <w:rFonts w:ascii="Arial" w:hAnsi="Arial" w:cs="Arial"/>
          <w:sz w:val="20"/>
          <w:szCs w:val="20"/>
        </w:rPr>
        <w:t>demographic data in a geo</w:t>
      </w:r>
      <w:r w:rsidR="00BF1D44">
        <w:rPr>
          <w:rFonts w:ascii="Arial" w:hAnsi="Arial" w:cs="Arial"/>
          <w:sz w:val="20"/>
          <w:szCs w:val="20"/>
        </w:rPr>
        <w:t>-</w:t>
      </w:r>
      <w:r w:rsidR="00C06128">
        <w:rPr>
          <w:rFonts w:ascii="Arial" w:hAnsi="Arial" w:cs="Arial"/>
          <w:sz w:val="20"/>
          <w:szCs w:val="20"/>
        </w:rPr>
        <w:t xml:space="preserve">spatial format that has </w:t>
      </w:r>
      <w:r w:rsidR="0087783D">
        <w:rPr>
          <w:rFonts w:ascii="Arial" w:hAnsi="Arial" w:cs="Arial"/>
          <w:sz w:val="20"/>
          <w:szCs w:val="20"/>
        </w:rPr>
        <w:t>one</w:t>
      </w:r>
      <w:r w:rsidR="00C06128">
        <w:rPr>
          <w:rFonts w:ascii="Arial" w:hAnsi="Arial" w:cs="Arial"/>
          <w:sz w:val="20"/>
          <w:szCs w:val="20"/>
        </w:rPr>
        <w:t xml:space="preserve"> population value representing </w:t>
      </w:r>
      <w:r w:rsidR="0087783D">
        <w:rPr>
          <w:rFonts w:ascii="Arial" w:hAnsi="Arial" w:cs="Arial"/>
          <w:sz w:val="20"/>
          <w:szCs w:val="20"/>
        </w:rPr>
        <w:t>each</w:t>
      </w:r>
      <w:r w:rsidR="00C06128">
        <w:rPr>
          <w:rFonts w:ascii="Arial" w:hAnsi="Arial" w:cs="Arial"/>
          <w:sz w:val="20"/>
          <w:szCs w:val="20"/>
        </w:rPr>
        <w:t xml:space="preserve"> areal unit</w:t>
      </w:r>
      <w:r w:rsidR="00BF1D44">
        <w:rPr>
          <w:rFonts w:ascii="Arial" w:hAnsi="Arial" w:cs="Arial"/>
          <w:sz w:val="20"/>
          <w:szCs w:val="20"/>
        </w:rPr>
        <w:t xml:space="preserve"> (polygon)</w:t>
      </w:r>
      <w:r w:rsidR="00C06128">
        <w:rPr>
          <w:rFonts w:ascii="Arial" w:hAnsi="Arial" w:cs="Arial"/>
          <w:sz w:val="20"/>
          <w:szCs w:val="20"/>
        </w:rPr>
        <w:t>. (Example – US Census Data by block, block-group, tract, county, etc.)</w:t>
      </w:r>
    </w:p>
    <w:p w:rsidR="00087825" w:rsidRPr="002224C1" w:rsidRDefault="00C06128" w:rsidP="002224C1">
      <w:pPr>
        <w:numPr>
          <w:ilvl w:val="0"/>
          <w:numId w:val="1"/>
        </w:numPr>
        <w:rPr>
          <w:rFonts w:ascii="Arial" w:hAnsi="Arial" w:cs="Arial"/>
          <w:sz w:val="20"/>
          <w:szCs w:val="20"/>
        </w:rPr>
      </w:pPr>
      <w:r>
        <w:rPr>
          <w:rFonts w:ascii="Arial" w:hAnsi="Arial" w:cs="Arial"/>
          <w:sz w:val="20"/>
          <w:szCs w:val="20"/>
        </w:rPr>
        <w:t>Ancillary Layer – A land</w:t>
      </w:r>
      <w:r w:rsidR="0087783D">
        <w:rPr>
          <w:rFonts w:ascii="Arial" w:hAnsi="Arial" w:cs="Arial"/>
          <w:sz w:val="20"/>
          <w:szCs w:val="20"/>
        </w:rPr>
        <w:t xml:space="preserve"> </w:t>
      </w:r>
      <w:r>
        <w:rPr>
          <w:rFonts w:ascii="Arial" w:hAnsi="Arial" w:cs="Arial"/>
          <w:sz w:val="20"/>
          <w:szCs w:val="20"/>
        </w:rPr>
        <w:t>use or land</w:t>
      </w:r>
      <w:r w:rsidR="0087783D">
        <w:rPr>
          <w:rFonts w:ascii="Arial" w:hAnsi="Arial" w:cs="Arial"/>
          <w:sz w:val="20"/>
          <w:szCs w:val="20"/>
        </w:rPr>
        <w:t xml:space="preserve"> cover-</w:t>
      </w:r>
      <w:r>
        <w:rPr>
          <w:rFonts w:ascii="Arial" w:hAnsi="Arial" w:cs="Arial"/>
          <w:sz w:val="20"/>
          <w:szCs w:val="20"/>
        </w:rPr>
        <w:t>derived raster layer that has been re-classified into four classes</w:t>
      </w:r>
      <w:r w:rsidR="004C57D9">
        <w:rPr>
          <w:rFonts w:ascii="Arial" w:hAnsi="Arial" w:cs="Arial"/>
          <w:sz w:val="20"/>
          <w:szCs w:val="20"/>
        </w:rPr>
        <w:t xml:space="preserve"> </w:t>
      </w:r>
      <w:r>
        <w:rPr>
          <w:rFonts w:ascii="Arial" w:hAnsi="Arial" w:cs="Arial"/>
          <w:sz w:val="20"/>
          <w:szCs w:val="20"/>
        </w:rPr>
        <w:t>representing inhabited</w:t>
      </w:r>
      <w:r w:rsidR="006A6103">
        <w:rPr>
          <w:rFonts w:ascii="Arial" w:hAnsi="Arial" w:cs="Arial"/>
          <w:sz w:val="20"/>
          <w:szCs w:val="20"/>
        </w:rPr>
        <w:t>/uninhabited</w:t>
      </w:r>
      <w:r>
        <w:rPr>
          <w:rFonts w:ascii="Arial" w:hAnsi="Arial" w:cs="Arial"/>
          <w:sz w:val="20"/>
          <w:szCs w:val="20"/>
        </w:rPr>
        <w:t xml:space="preserve"> areas into </w:t>
      </w:r>
      <w:r w:rsidR="0087783D">
        <w:rPr>
          <w:rFonts w:ascii="Arial" w:hAnsi="Arial" w:cs="Arial"/>
          <w:sz w:val="20"/>
          <w:szCs w:val="20"/>
        </w:rPr>
        <w:t>density</w:t>
      </w:r>
      <w:r>
        <w:rPr>
          <w:rFonts w:ascii="Arial" w:hAnsi="Arial" w:cs="Arial"/>
          <w:sz w:val="20"/>
          <w:szCs w:val="20"/>
        </w:rPr>
        <w:t xml:space="preserve"> stratification. (Example –</w:t>
      </w:r>
      <w:r w:rsidR="0023181D">
        <w:rPr>
          <w:rFonts w:ascii="Arial" w:hAnsi="Arial" w:cs="Arial"/>
          <w:sz w:val="20"/>
          <w:szCs w:val="20"/>
        </w:rPr>
        <w:t xml:space="preserve"> (1)</w:t>
      </w:r>
      <w:r>
        <w:rPr>
          <w:rFonts w:ascii="Arial" w:hAnsi="Arial" w:cs="Arial"/>
          <w:sz w:val="20"/>
          <w:szCs w:val="20"/>
        </w:rPr>
        <w:t xml:space="preserve"> </w:t>
      </w:r>
      <w:r w:rsidR="0087783D">
        <w:rPr>
          <w:rFonts w:ascii="Arial" w:hAnsi="Arial" w:cs="Arial"/>
          <w:sz w:val="20"/>
          <w:szCs w:val="20"/>
        </w:rPr>
        <w:t>High-</w:t>
      </w:r>
      <w:r>
        <w:rPr>
          <w:rFonts w:ascii="Arial" w:hAnsi="Arial" w:cs="Arial"/>
          <w:sz w:val="20"/>
          <w:szCs w:val="20"/>
        </w:rPr>
        <w:t xml:space="preserve">Density Residential, </w:t>
      </w:r>
      <w:r w:rsidR="0023181D">
        <w:rPr>
          <w:rFonts w:ascii="Arial" w:hAnsi="Arial" w:cs="Arial"/>
          <w:sz w:val="20"/>
          <w:szCs w:val="20"/>
        </w:rPr>
        <w:t xml:space="preserve">(2) </w:t>
      </w:r>
      <w:r w:rsidR="0087783D">
        <w:rPr>
          <w:rFonts w:ascii="Arial" w:hAnsi="Arial" w:cs="Arial"/>
          <w:sz w:val="20"/>
          <w:szCs w:val="20"/>
        </w:rPr>
        <w:t>Low-</w:t>
      </w:r>
      <w:r>
        <w:rPr>
          <w:rFonts w:ascii="Arial" w:hAnsi="Arial" w:cs="Arial"/>
          <w:sz w:val="20"/>
          <w:szCs w:val="20"/>
        </w:rPr>
        <w:t xml:space="preserve">Density Residential, </w:t>
      </w:r>
      <w:r w:rsidR="0023181D">
        <w:rPr>
          <w:rFonts w:ascii="Arial" w:hAnsi="Arial" w:cs="Arial"/>
          <w:sz w:val="20"/>
          <w:szCs w:val="20"/>
        </w:rPr>
        <w:t xml:space="preserve">(3) </w:t>
      </w:r>
      <w:r>
        <w:rPr>
          <w:rFonts w:ascii="Arial" w:hAnsi="Arial" w:cs="Arial"/>
          <w:sz w:val="20"/>
          <w:szCs w:val="20"/>
        </w:rPr>
        <w:t xml:space="preserve">Non-Urban inhabited, </w:t>
      </w:r>
      <w:r w:rsidR="0023181D">
        <w:rPr>
          <w:rFonts w:ascii="Arial" w:hAnsi="Arial" w:cs="Arial"/>
          <w:sz w:val="20"/>
          <w:szCs w:val="20"/>
        </w:rPr>
        <w:t xml:space="preserve">(4) </w:t>
      </w:r>
      <w:r>
        <w:rPr>
          <w:rFonts w:ascii="Arial" w:hAnsi="Arial" w:cs="Arial"/>
          <w:sz w:val="20"/>
          <w:szCs w:val="20"/>
        </w:rPr>
        <w:t>Uninhabited)</w:t>
      </w:r>
    </w:p>
    <w:p w:rsidR="00D32867" w:rsidRDefault="001E06E0" w:rsidP="004F3E28">
      <w:pPr>
        <w:pStyle w:val="NormalWeb"/>
      </w:pPr>
      <w:r w:rsidRPr="007E6191">
        <w:rPr>
          <w:b/>
        </w:rPr>
        <w:t>Empirical Sampling:</w:t>
      </w:r>
      <w:r>
        <w:t xml:space="preserve"> </w:t>
      </w:r>
      <w:r w:rsidR="004F3E28">
        <w:t>Empirical sampling is used to determine the fraction of the census unit's population that should be allocated to each inhabited class for the study area. For example, the user can choose the percent cover in which the inhabited class occupies the census unit (between 70-100%). The sampling approach will take all census units (block groups) that are 80% (users choice) covered by high-density residential and calculate a population density fraction that will be used as the proxy density allocation for the high density residential class. If there are no census units that meet these criteria (i.e. 80% covered by high density residential), areal weighting is used.</w:t>
      </w:r>
    </w:p>
    <w:p w:rsidR="00D32867" w:rsidRDefault="00D32867">
      <w:pPr>
        <w:rPr>
          <w:rFonts w:ascii="Arial" w:hAnsi="Arial" w:cs="Arial"/>
          <w:sz w:val="20"/>
          <w:szCs w:val="20"/>
        </w:rPr>
      </w:pPr>
      <w:r w:rsidRPr="007E6191">
        <w:rPr>
          <w:rFonts w:ascii="Arial" w:hAnsi="Arial" w:cs="Arial"/>
          <w:b/>
          <w:sz w:val="20"/>
          <w:szCs w:val="20"/>
        </w:rPr>
        <w:t>Areal Weighting:</w:t>
      </w:r>
      <w:r>
        <w:rPr>
          <w:rFonts w:ascii="Arial" w:hAnsi="Arial" w:cs="Arial"/>
          <w:b/>
          <w:sz w:val="20"/>
          <w:szCs w:val="20"/>
        </w:rPr>
        <w:t xml:space="preserve"> </w:t>
      </w:r>
      <w:r w:rsidR="00132CF6">
        <w:rPr>
          <w:rFonts w:ascii="Arial" w:hAnsi="Arial" w:cs="Arial"/>
          <w:sz w:val="20"/>
          <w:szCs w:val="20"/>
        </w:rPr>
        <w:t xml:space="preserve">The ‘population density fraction’ must be adjusted by the percentage of the block-group’s total area that each ‘inhabited class’ occupies. </w:t>
      </w:r>
      <w:r w:rsidR="00202D89">
        <w:rPr>
          <w:rFonts w:ascii="Arial" w:hAnsi="Arial" w:cs="Arial"/>
          <w:sz w:val="20"/>
          <w:szCs w:val="20"/>
        </w:rPr>
        <w:t xml:space="preserve">A ratio is calculated for each ‘inhabited class’ representing the percentage of area that an ‘inhabited class’ actually occupies within a block group.  The area ratio is used to adjust the ‘population density fraction’ accounting for the variation of both the population density and area for the different ‘inhabited classes’ for each block group. </w:t>
      </w:r>
    </w:p>
    <w:p w:rsidR="00F7721C" w:rsidRDefault="00F7721C">
      <w:pPr>
        <w:rPr>
          <w:rFonts w:ascii="Arial" w:hAnsi="Arial" w:cs="Arial"/>
          <w:sz w:val="20"/>
          <w:szCs w:val="20"/>
        </w:rPr>
      </w:pPr>
    </w:p>
    <w:p w:rsidR="004F3E28" w:rsidRDefault="00F7721C" w:rsidP="004F3E28">
      <w:pPr>
        <w:pStyle w:val="NormalWeb"/>
        <w:spacing w:before="0" w:beforeAutospacing="0" w:after="0" w:afterAutospacing="0"/>
      </w:pPr>
      <w:r w:rsidRPr="00F7721C">
        <w:rPr>
          <w:b/>
        </w:rPr>
        <w:t>Preset Classes:</w:t>
      </w:r>
      <w:r>
        <w:t xml:space="preserve"> </w:t>
      </w:r>
      <w:r w:rsidR="004F3E28">
        <w:t>If you have a Land Use/Land Cover class that you know is “uninhabited” (for example, water, non-residential developed, uninhabited wetlands, or forest) you may “preset” these classes to “0” so no data may be distributed to these zones.</w:t>
      </w:r>
    </w:p>
    <w:p w:rsidR="005C3023" w:rsidRDefault="005C3023">
      <w:pPr>
        <w:rPr>
          <w:rFonts w:ascii="Arial" w:hAnsi="Arial" w:cs="Arial"/>
          <w:b/>
          <w:sz w:val="20"/>
          <w:szCs w:val="20"/>
        </w:rPr>
      </w:pPr>
    </w:p>
    <w:p w:rsidR="005C3023" w:rsidRDefault="005C3023">
      <w:pPr>
        <w:rPr>
          <w:rFonts w:ascii="Arial" w:hAnsi="Arial" w:cs="Arial"/>
          <w:sz w:val="20"/>
          <w:szCs w:val="20"/>
        </w:rPr>
      </w:pPr>
      <w:r>
        <w:rPr>
          <w:rFonts w:ascii="Arial" w:hAnsi="Arial" w:cs="Arial"/>
          <w:b/>
          <w:sz w:val="20"/>
          <w:szCs w:val="20"/>
        </w:rPr>
        <w:t xml:space="preserve">Output: </w:t>
      </w:r>
      <w:r w:rsidR="0044606A">
        <w:rPr>
          <w:rFonts w:ascii="Arial" w:hAnsi="Arial" w:cs="Arial"/>
          <w:sz w:val="20"/>
          <w:szCs w:val="20"/>
        </w:rPr>
        <w:t xml:space="preserve">The </w:t>
      </w:r>
      <w:r w:rsidR="00BF1D44">
        <w:rPr>
          <w:rFonts w:ascii="Arial" w:hAnsi="Arial" w:cs="Arial"/>
          <w:sz w:val="20"/>
          <w:szCs w:val="20"/>
        </w:rPr>
        <w:t xml:space="preserve">“Dasymetric Mapping Tool” </w:t>
      </w:r>
      <w:r w:rsidR="0044606A">
        <w:rPr>
          <w:rFonts w:ascii="Arial" w:hAnsi="Arial" w:cs="Arial"/>
          <w:sz w:val="20"/>
          <w:szCs w:val="20"/>
        </w:rPr>
        <w:t>outputs a raster grid</w:t>
      </w:r>
      <w:r w:rsidR="0099679A">
        <w:rPr>
          <w:rFonts w:ascii="Arial" w:hAnsi="Arial" w:cs="Arial"/>
          <w:sz w:val="20"/>
          <w:szCs w:val="20"/>
        </w:rPr>
        <w:t xml:space="preserve"> named “</w:t>
      </w:r>
      <w:proofErr w:type="spellStart"/>
      <w:r w:rsidR="0099679A">
        <w:rPr>
          <w:rFonts w:ascii="Arial" w:hAnsi="Arial" w:cs="Arial"/>
          <w:sz w:val="20"/>
          <w:szCs w:val="20"/>
        </w:rPr>
        <w:t>Dasy</w:t>
      </w:r>
      <w:r w:rsidR="004F3E28">
        <w:rPr>
          <w:rFonts w:ascii="Arial" w:hAnsi="Arial" w:cs="Arial"/>
          <w:sz w:val="20"/>
          <w:szCs w:val="20"/>
        </w:rPr>
        <w:t>_rast</w:t>
      </w:r>
      <w:proofErr w:type="spellEnd"/>
      <w:r w:rsidR="0099679A">
        <w:rPr>
          <w:rFonts w:ascii="Arial" w:hAnsi="Arial" w:cs="Arial"/>
          <w:sz w:val="20"/>
          <w:szCs w:val="20"/>
        </w:rPr>
        <w:t>”</w:t>
      </w:r>
      <w:r w:rsidR="0044606A">
        <w:rPr>
          <w:rFonts w:ascii="Arial" w:hAnsi="Arial" w:cs="Arial"/>
          <w:sz w:val="20"/>
          <w:szCs w:val="20"/>
        </w:rPr>
        <w:t xml:space="preserve"> representing population/grid cell. </w:t>
      </w:r>
      <w:r w:rsidR="00BF1D44">
        <w:rPr>
          <w:rFonts w:ascii="Arial" w:hAnsi="Arial" w:cs="Arial"/>
          <w:sz w:val="20"/>
          <w:szCs w:val="20"/>
        </w:rPr>
        <w:t xml:space="preserve">This data has been transferred from the source population data (census) to </w:t>
      </w:r>
      <w:r w:rsidR="00BF1D44">
        <w:rPr>
          <w:rFonts w:ascii="Arial" w:hAnsi="Arial" w:cs="Arial"/>
          <w:sz w:val="20"/>
          <w:szCs w:val="20"/>
        </w:rPr>
        <w:lastRenderedPageBreak/>
        <w:t xml:space="preserve">the target land use/land cover data zones by means of areal interpolation. </w:t>
      </w:r>
      <w:r w:rsidR="0044606A">
        <w:rPr>
          <w:rFonts w:ascii="Arial" w:hAnsi="Arial" w:cs="Arial"/>
          <w:sz w:val="20"/>
          <w:szCs w:val="20"/>
        </w:rPr>
        <w:t xml:space="preserve">The grid cell size </w:t>
      </w:r>
      <w:r w:rsidR="00BF1D44">
        <w:rPr>
          <w:rFonts w:ascii="Arial" w:hAnsi="Arial" w:cs="Arial"/>
          <w:sz w:val="20"/>
          <w:szCs w:val="20"/>
        </w:rPr>
        <w:t>can be determined by the user and is dependent</w:t>
      </w:r>
      <w:r w:rsidR="0044606A">
        <w:rPr>
          <w:rFonts w:ascii="Arial" w:hAnsi="Arial" w:cs="Arial"/>
          <w:sz w:val="20"/>
          <w:szCs w:val="20"/>
        </w:rPr>
        <w:t xml:space="preserve"> on the scale you and the input data available. There is no limit to how small the grid cell size can be, however computation time may be affected.</w:t>
      </w:r>
    </w:p>
    <w:p w:rsidR="0099679A" w:rsidRDefault="0099679A">
      <w:pPr>
        <w:rPr>
          <w:rFonts w:ascii="Arial" w:hAnsi="Arial" w:cs="Arial"/>
          <w:sz w:val="20"/>
          <w:szCs w:val="20"/>
        </w:rPr>
      </w:pPr>
    </w:p>
    <w:p w:rsidR="0099679A" w:rsidRPr="0099679A" w:rsidRDefault="0099679A">
      <w:pPr>
        <w:rPr>
          <w:rFonts w:ascii="Arial" w:hAnsi="Arial" w:cs="Arial"/>
          <w:sz w:val="20"/>
          <w:szCs w:val="20"/>
        </w:rPr>
      </w:pPr>
      <w:r w:rsidRPr="0099679A">
        <w:rPr>
          <w:rFonts w:ascii="Arial" w:hAnsi="Arial" w:cs="Arial"/>
          <w:b/>
          <w:sz w:val="20"/>
          <w:szCs w:val="20"/>
        </w:rPr>
        <w:t>Symbolization:</w:t>
      </w:r>
      <w:r>
        <w:rPr>
          <w:rFonts w:ascii="Arial" w:hAnsi="Arial" w:cs="Arial"/>
          <w:b/>
          <w:sz w:val="20"/>
          <w:szCs w:val="20"/>
        </w:rPr>
        <w:t xml:space="preserve"> </w:t>
      </w:r>
      <w:r w:rsidRPr="0099679A">
        <w:rPr>
          <w:rFonts w:ascii="Arial" w:hAnsi="Arial" w:cs="Arial"/>
          <w:sz w:val="20"/>
          <w:szCs w:val="20"/>
        </w:rPr>
        <w:t>The raster grid named “</w:t>
      </w:r>
      <w:proofErr w:type="spellStart"/>
      <w:r w:rsidR="004F3E28">
        <w:rPr>
          <w:rFonts w:ascii="Arial" w:hAnsi="Arial" w:cs="Arial"/>
          <w:sz w:val="20"/>
          <w:szCs w:val="20"/>
        </w:rPr>
        <w:t>Dasy_rast</w:t>
      </w:r>
      <w:proofErr w:type="spellEnd"/>
      <w:r w:rsidRPr="0099679A">
        <w:rPr>
          <w:rFonts w:ascii="Arial" w:hAnsi="Arial" w:cs="Arial"/>
          <w:sz w:val="20"/>
          <w:szCs w:val="20"/>
        </w:rPr>
        <w:t xml:space="preserve">” will have a field that has all of the new density </w:t>
      </w:r>
      <w:r w:rsidR="004F3E28">
        <w:rPr>
          <w:rFonts w:ascii="Arial" w:hAnsi="Arial" w:cs="Arial"/>
          <w:sz w:val="20"/>
          <w:szCs w:val="20"/>
        </w:rPr>
        <w:t>values. The field is named “</w:t>
      </w:r>
      <w:proofErr w:type="spellStart"/>
      <w:r w:rsidR="004F3E28">
        <w:rPr>
          <w:rFonts w:ascii="Arial" w:hAnsi="Arial" w:cs="Arial"/>
          <w:sz w:val="20"/>
          <w:szCs w:val="20"/>
        </w:rPr>
        <w:t>New</w:t>
      </w:r>
      <w:r w:rsidRPr="0099679A">
        <w:rPr>
          <w:rFonts w:ascii="Arial" w:hAnsi="Arial" w:cs="Arial"/>
          <w:sz w:val="20"/>
          <w:szCs w:val="20"/>
        </w:rPr>
        <w:t>Density</w:t>
      </w:r>
      <w:proofErr w:type="spellEnd"/>
      <w:r w:rsidRPr="0099679A">
        <w:rPr>
          <w:rFonts w:ascii="Arial" w:hAnsi="Arial" w:cs="Arial"/>
          <w:sz w:val="20"/>
          <w:szCs w:val="20"/>
        </w:rPr>
        <w:t xml:space="preserve">” and the user must modify the symbolization to </w:t>
      </w:r>
      <w:r>
        <w:rPr>
          <w:rFonts w:ascii="Arial" w:hAnsi="Arial" w:cs="Arial"/>
          <w:sz w:val="20"/>
          <w:szCs w:val="20"/>
        </w:rPr>
        <w:t xml:space="preserve">visually represent the results. The recommended symbolization is to use the </w:t>
      </w:r>
      <w:r w:rsidR="00135A59">
        <w:rPr>
          <w:rFonts w:ascii="Arial" w:hAnsi="Arial" w:cs="Arial"/>
          <w:sz w:val="20"/>
          <w:szCs w:val="20"/>
        </w:rPr>
        <w:t>‘</w:t>
      </w:r>
      <w:r>
        <w:rPr>
          <w:rFonts w:ascii="Arial" w:hAnsi="Arial" w:cs="Arial"/>
          <w:sz w:val="20"/>
          <w:szCs w:val="20"/>
        </w:rPr>
        <w:t>classified</w:t>
      </w:r>
      <w:r w:rsidR="00135A59">
        <w:rPr>
          <w:rFonts w:ascii="Arial" w:hAnsi="Arial" w:cs="Arial"/>
          <w:sz w:val="20"/>
          <w:szCs w:val="20"/>
        </w:rPr>
        <w:t>’</w:t>
      </w:r>
      <w:r>
        <w:rPr>
          <w:rFonts w:ascii="Arial" w:hAnsi="Arial" w:cs="Arial"/>
          <w:sz w:val="20"/>
          <w:szCs w:val="20"/>
        </w:rPr>
        <w:t xml:space="preserve"> data range with the desired amount of classes. Another recommended option is to exclude all of the zero values by going to Classification – Data Exclusion Prope</w:t>
      </w:r>
      <w:bookmarkStart w:id="0" w:name="_GoBack"/>
      <w:bookmarkEnd w:id="0"/>
      <w:r>
        <w:rPr>
          <w:rFonts w:ascii="Arial" w:hAnsi="Arial" w:cs="Arial"/>
          <w:sz w:val="20"/>
          <w:szCs w:val="20"/>
        </w:rPr>
        <w:t xml:space="preserve">rties. Enter “0” into the exclusion value field and choose your legend properties for all zero values. </w:t>
      </w:r>
    </w:p>
    <w:p w:rsidR="00560577" w:rsidRPr="00485C77" w:rsidRDefault="00560577">
      <w:pPr>
        <w:rPr>
          <w:rFonts w:ascii="Arial" w:hAnsi="Arial" w:cs="Arial"/>
          <w:b/>
          <w:sz w:val="20"/>
          <w:szCs w:val="20"/>
          <w:u w:val="single"/>
        </w:rPr>
      </w:pPr>
    </w:p>
    <w:p w:rsidR="001655B3" w:rsidRDefault="00770339">
      <w:pPr>
        <w:rPr>
          <w:rFonts w:ascii="Arial" w:hAnsi="Arial" w:cs="Arial"/>
          <w:sz w:val="20"/>
          <w:szCs w:val="20"/>
        </w:rPr>
      </w:pPr>
      <w:hyperlink r:id="rId5" w:history="1">
        <w:r w:rsidR="006A6103">
          <w:rPr>
            <w:rStyle w:val="Hyperlink"/>
            <w:rFonts w:ascii="Arial" w:hAnsi="Arial" w:cs="Arial"/>
            <w:sz w:val="20"/>
            <w:szCs w:val="20"/>
          </w:rPr>
          <w:t>For Full Equations: see research by Jeremy Mennis (click)</w:t>
        </w:r>
      </w:hyperlink>
    </w:p>
    <w:p w:rsidR="00D45C74" w:rsidRDefault="00D45C74">
      <w:pPr>
        <w:rPr>
          <w:rFonts w:ascii="Arial" w:hAnsi="Arial" w:cs="Arial"/>
          <w:sz w:val="20"/>
          <w:szCs w:val="20"/>
        </w:rPr>
      </w:pPr>
    </w:p>
    <w:p w:rsidR="00D45C74" w:rsidRDefault="00D45C74">
      <w:pPr>
        <w:rPr>
          <w:rFonts w:ascii="Arial" w:hAnsi="Arial" w:cs="Arial"/>
          <w:sz w:val="20"/>
          <w:szCs w:val="20"/>
        </w:rPr>
      </w:pPr>
    </w:p>
    <w:p w:rsidR="00D45C74" w:rsidRDefault="00D45C74">
      <w:pPr>
        <w:rPr>
          <w:rFonts w:ascii="Arial" w:hAnsi="Arial" w:cs="Arial"/>
          <w:sz w:val="20"/>
          <w:szCs w:val="20"/>
        </w:rPr>
      </w:pPr>
    </w:p>
    <w:p w:rsidR="00D45C74" w:rsidRDefault="00D45C74" w:rsidP="00D45C74">
      <w:pPr>
        <w:rPr>
          <w:rFonts w:ascii="Arial" w:hAnsi="Arial" w:cs="Arial"/>
          <w:b/>
          <w:sz w:val="20"/>
          <w:szCs w:val="20"/>
          <w:u w:val="single"/>
        </w:rPr>
      </w:pPr>
      <w:r>
        <w:rPr>
          <w:rFonts w:ascii="Arial" w:hAnsi="Arial" w:cs="Arial"/>
          <w:b/>
          <w:sz w:val="20"/>
          <w:szCs w:val="20"/>
          <w:u w:val="single"/>
        </w:rPr>
        <w:t>Further Questions Please Contact:</w:t>
      </w:r>
    </w:p>
    <w:p w:rsidR="00D45C74" w:rsidRDefault="00D45C74" w:rsidP="00D45C74">
      <w:pPr>
        <w:rPr>
          <w:rFonts w:ascii="Arial" w:hAnsi="Arial" w:cs="Arial"/>
          <w:b/>
          <w:sz w:val="20"/>
          <w:szCs w:val="20"/>
        </w:rPr>
      </w:pPr>
      <w:r>
        <w:rPr>
          <w:rFonts w:ascii="Arial" w:hAnsi="Arial" w:cs="Arial"/>
          <w:b/>
          <w:sz w:val="20"/>
          <w:szCs w:val="20"/>
        </w:rPr>
        <w:t>Mike Gould – USGS</w:t>
      </w:r>
    </w:p>
    <w:p w:rsidR="00D45C74" w:rsidRDefault="00770339" w:rsidP="00D45C74">
      <w:pPr>
        <w:rPr>
          <w:rFonts w:ascii="Arial" w:hAnsi="Arial" w:cs="Arial"/>
          <w:sz w:val="20"/>
          <w:szCs w:val="20"/>
        </w:rPr>
      </w:pPr>
      <w:hyperlink r:id="rId6" w:history="1">
        <w:r w:rsidR="00D45C74">
          <w:rPr>
            <w:rStyle w:val="Hyperlink"/>
            <w:rFonts w:ascii="Arial" w:hAnsi="Arial" w:cs="Arial"/>
            <w:sz w:val="20"/>
            <w:szCs w:val="20"/>
          </w:rPr>
          <w:t>mgould@usgs.gov</w:t>
        </w:r>
      </w:hyperlink>
    </w:p>
    <w:p w:rsidR="00D45C74" w:rsidRDefault="00D45C74" w:rsidP="00D45C74">
      <w:pPr>
        <w:numPr>
          <w:ilvl w:val="2"/>
          <w:numId w:val="2"/>
        </w:numPr>
        <w:rPr>
          <w:rFonts w:ascii="Arial" w:hAnsi="Arial" w:cs="Arial"/>
          <w:sz w:val="20"/>
          <w:szCs w:val="20"/>
        </w:rPr>
      </w:pPr>
      <w:r>
        <w:rPr>
          <w:rFonts w:ascii="Arial" w:hAnsi="Arial" w:cs="Arial"/>
          <w:sz w:val="20"/>
          <w:szCs w:val="20"/>
        </w:rPr>
        <w:t>--  or --</w:t>
      </w:r>
    </w:p>
    <w:p w:rsidR="00D45C74" w:rsidRDefault="00D45C74" w:rsidP="00D45C74">
      <w:pPr>
        <w:rPr>
          <w:rFonts w:ascii="Arial" w:hAnsi="Arial" w:cs="Arial"/>
          <w:sz w:val="20"/>
          <w:szCs w:val="20"/>
        </w:rPr>
      </w:pPr>
    </w:p>
    <w:p w:rsidR="00D45C74" w:rsidRDefault="00D45C74" w:rsidP="00D45C74">
      <w:pPr>
        <w:rPr>
          <w:rFonts w:ascii="Arial" w:hAnsi="Arial" w:cs="Arial"/>
          <w:sz w:val="20"/>
          <w:szCs w:val="20"/>
        </w:rPr>
      </w:pPr>
      <w:r>
        <w:rPr>
          <w:rFonts w:ascii="Arial" w:hAnsi="Arial" w:cs="Arial"/>
          <w:b/>
          <w:sz w:val="20"/>
          <w:szCs w:val="20"/>
        </w:rPr>
        <w:t xml:space="preserve">Rachel </w:t>
      </w:r>
      <w:proofErr w:type="spellStart"/>
      <w:r>
        <w:rPr>
          <w:rFonts w:ascii="Arial" w:hAnsi="Arial" w:cs="Arial"/>
          <w:b/>
          <w:sz w:val="20"/>
          <w:szCs w:val="20"/>
        </w:rPr>
        <w:t>Sleeter</w:t>
      </w:r>
      <w:proofErr w:type="spellEnd"/>
      <w:r>
        <w:rPr>
          <w:rFonts w:ascii="Arial" w:hAnsi="Arial" w:cs="Arial"/>
          <w:b/>
          <w:sz w:val="20"/>
          <w:szCs w:val="20"/>
        </w:rPr>
        <w:t xml:space="preserve"> - USGS</w:t>
      </w:r>
      <w:r>
        <w:rPr>
          <w:rFonts w:ascii="Arial" w:hAnsi="Arial" w:cs="Arial"/>
          <w:b/>
          <w:sz w:val="20"/>
          <w:szCs w:val="20"/>
        </w:rPr>
        <w:br/>
      </w:r>
      <w:hyperlink r:id="rId7" w:history="1">
        <w:r>
          <w:rPr>
            <w:rStyle w:val="Hyperlink"/>
            <w:rFonts w:ascii="Arial" w:hAnsi="Arial" w:cs="Arial"/>
            <w:sz w:val="20"/>
            <w:szCs w:val="20"/>
          </w:rPr>
          <w:t>rsleeter@usgs.gov</w:t>
        </w:r>
      </w:hyperlink>
    </w:p>
    <w:p w:rsidR="00D45C74" w:rsidRDefault="00770339" w:rsidP="00D45C74">
      <w:pPr>
        <w:rPr>
          <w:rFonts w:ascii="Arial" w:hAnsi="Arial" w:cs="Arial"/>
          <w:sz w:val="20"/>
          <w:szCs w:val="20"/>
        </w:rPr>
      </w:pPr>
      <w:r>
        <w:rPr>
          <w:rFonts w:ascii="Arial" w:hAnsi="Arial" w:cs="Arial"/>
          <w:sz w:val="20"/>
          <w:szCs w:val="20"/>
        </w:rPr>
        <w:t>253</w:t>
      </w:r>
      <w:r w:rsidR="00D45C74">
        <w:rPr>
          <w:rFonts w:ascii="Arial" w:hAnsi="Arial" w:cs="Arial"/>
          <w:sz w:val="20"/>
          <w:szCs w:val="20"/>
        </w:rPr>
        <w:t>-</w:t>
      </w:r>
      <w:r>
        <w:rPr>
          <w:rFonts w:ascii="Arial" w:hAnsi="Arial" w:cs="Arial"/>
          <w:sz w:val="20"/>
          <w:szCs w:val="20"/>
        </w:rPr>
        <w:t>313</w:t>
      </w:r>
      <w:r w:rsidR="00D45C74">
        <w:rPr>
          <w:rFonts w:ascii="Arial" w:hAnsi="Arial" w:cs="Arial"/>
          <w:sz w:val="20"/>
          <w:szCs w:val="20"/>
        </w:rPr>
        <w:t>-</w:t>
      </w:r>
      <w:r>
        <w:rPr>
          <w:rFonts w:ascii="Arial" w:hAnsi="Arial" w:cs="Arial"/>
          <w:sz w:val="20"/>
          <w:szCs w:val="20"/>
        </w:rPr>
        <w:t>3310</w:t>
      </w:r>
    </w:p>
    <w:p w:rsidR="00D45C74" w:rsidRPr="00485C77" w:rsidRDefault="00D45C74">
      <w:pPr>
        <w:rPr>
          <w:rFonts w:ascii="Arial" w:hAnsi="Arial" w:cs="Arial"/>
          <w:sz w:val="20"/>
          <w:szCs w:val="20"/>
        </w:rPr>
      </w:pPr>
    </w:p>
    <w:sectPr w:rsidR="00D45C74" w:rsidRPr="00485C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69A4"/>
    <w:multiLevelType w:val="multilevel"/>
    <w:tmpl w:val="37B46408"/>
    <w:lvl w:ilvl="0">
      <w:start w:val="650"/>
      <w:numFmt w:val="decimal"/>
      <w:lvlText w:val="%1"/>
      <w:lvlJc w:val="left"/>
      <w:pPr>
        <w:tabs>
          <w:tab w:val="num" w:pos="1620"/>
        </w:tabs>
        <w:ind w:left="1620" w:hanging="1620"/>
      </w:pPr>
    </w:lvl>
    <w:lvl w:ilvl="1">
      <w:start w:val="329"/>
      <w:numFmt w:val="decimal"/>
      <w:lvlText w:val="%1-%2"/>
      <w:lvlJc w:val="left"/>
      <w:pPr>
        <w:tabs>
          <w:tab w:val="num" w:pos="1620"/>
        </w:tabs>
        <w:ind w:left="1620" w:hanging="1620"/>
      </w:pPr>
    </w:lvl>
    <w:lvl w:ilvl="2">
      <w:start w:val="4336"/>
      <w:numFmt w:val="decimal"/>
      <w:lvlText w:val="%1-%2-%3"/>
      <w:lvlJc w:val="left"/>
      <w:pPr>
        <w:tabs>
          <w:tab w:val="num" w:pos="1620"/>
        </w:tabs>
        <w:ind w:left="1620" w:hanging="1620"/>
      </w:pPr>
    </w:lvl>
    <w:lvl w:ilvl="3">
      <w:start w:val="1"/>
      <w:numFmt w:val="decimal"/>
      <w:lvlText w:val="%1-%2-%3.%4"/>
      <w:lvlJc w:val="left"/>
      <w:pPr>
        <w:tabs>
          <w:tab w:val="num" w:pos="1620"/>
        </w:tabs>
        <w:ind w:left="1620" w:hanging="1620"/>
      </w:pPr>
    </w:lvl>
    <w:lvl w:ilvl="4">
      <w:start w:val="1"/>
      <w:numFmt w:val="decimal"/>
      <w:lvlText w:val="%1-%2-%3.%4.%5"/>
      <w:lvlJc w:val="left"/>
      <w:pPr>
        <w:tabs>
          <w:tab w:val="num" w:pos="1620"/>
        </w:tabs>
        <w:ind w:left="1620" w:hanging="1620"/>
      </w:pPr>
    </w:lvl>
    <w:lvl w:ilvl="5">
      <w:start w:val="1"/>
      <w:numFmt w:val="decimal"/>
      <w:lvlText w:val="%1-%2-%3.%4.%5.%6"/>
      <w:lvlJc w:val="left"/>
      <w:pPr>
        <w:tabs>
          <w:tab w:val="num" w:pos="1620"/>
        </w:tabs>
        <w:ind w:left="1620" w:hanging="1620"/>
      </w:pPr>
    </w:lvl>
    <w:lvl w:ilvl="6">
      <w:start w:val="1"/>
      <w:numFmt w:val="decimal"/>
      <w:lvlText w:val="%1-%2-%3.%4.%5.%6.%7"/>
      <w:lvlJc w:val="left"/>
      <w:pPr>
        <w:tabs>
          <w:tab w:val="num" w:pos="1620"/>
        </w:tabs>
        <w:ind w:left="1620" w:hanging="162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31B2256D"/>
    <w:multiLevelType w:val="hybridMultilevel"/>
    <w:tmpl w:val="FED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650"/>
    </w:lvlOverride>
    <w:lvlOverride w:ilvl="1">
      <w:startOverride w:val="329"/>
    </w:lvlOverride>
    <w:lvlOverride w:ilvl="2">
      <w:startOverride w:val="433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B3"/>
    <w:rsid w:val="00087825"/>
    <w:rsid w:val="000A2639"/>
    <w:rsid w:val="000C357B"/>
    <w:rsid w:val="00132CF6"/>
    <w:rsid w:val="00135A59"/>
    <w:rsid w:val="001655B3"/>
    <w:rsid w:val="001E06E0"/>
    <w:rsid w:val="002025C1"/>
    <w:rsid w:val="00202D89"/>
    <w:rsid w:val="002224C1"/>
    <w:rsid w:val="0023181D"/>
    <w:rsid w:val="00292B61"/>
    <w:rsid w:val="00386DBA"/>
    <w:rsid w:val="0044606A"/>
    <w:rsid w:val="00453085"/>
    <w:rsid w:val="00485C77"/>
    <w:rsid w:val="004B4AF0"/>
    <w:rsid w:val="004C57D9"/>
    <w:rsid w:val="004F3E28"/>
    <w:rsid w:val="00560577"/>
    <w:rsid w:val="005C3023"/>
    <w:rsid w:val="006A3A6F"/>
    <w:rsid w:val="006A6103"/>
    <w:rsid w:val="006D453C"/>
    <w:rsid w:val="00704D4F"/>
    <w:rsid w:val="00770339"/>
    <w:rsid w:val="007E6191"/>
    <w:rsid w:val="0087783D"/>
    <w:rsid w:val="009016CF"/>
    <w:rsid w:val="009608DD"/>
    <w:rsid w:val="009966BD"/>
    <w:rsid w:val="0099679A"/>
    <w:rsid w:val="009B141D"/>
    <w:rsid w:val="009D1E73"/>
    <w:rsid w:val="00B0086E"/>
    <w:rsid w:val="00B20B40"/>
    <w:rsid w:val="00BF1D44"/>
    <w:rsid w:val="00C06128"/>
    <w:rsid w:val="00C969F0"/>
    <w:rsid w:val="00D32867"/>
    <w:rsid w:val="00D45C74"/>
    <w:rsid w:val="00E9731B"/>
    <w:rsid w:val="00F366AB"/>
    <w:rsid w:val="00F7721C"/>
    <w:rsid w:val="00F836E2"/>
    <w:rsid w:val="00F9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197022-5DC6-4B03-9156-6AB82D80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1655B3"/>
    <w:pPr>
      <w:autoSpaceDE w:val="0"/>
      <w:autoSpaceDN w:val="0"/>
      <w:adjustRightInd w:val="0"/>
    </w:pPr>
    <w:rPr>
      <w:rFonts w:ascii="Arial" w:hAnsi="Arial"/>
      <w:szCs w:val="24"/>
    </w:rPr>
  </w:style>
  <w:style w:type="character" w:styleId="Hyperlink">
    <w:name w:val="Hyperlink"/>
    <w:basedOn w:val="DefaultParagraphFont"/>
    <w:rsid w:val="00C969F0"/>
    <w:rPr>
      <w:color w:val="0000FF"/>
      <w:u w:val="single"/>
    </w:rPr>
  </w:style>
  <w:style w:type="character" w:styleId="FollowedHyperlink">
    <w:name w:val="FollowedHyperlink"/>
    <w:basedOn w:val="DefaultParagraphFont"/>
    <w:rsid w:val="006A6103"/>
    <w:rPr>
      <w:color w:val="800080"/>
      <w:u w:val="single"/>
    </w:rPr>
  </w:style>
  <w:style w:type="paragraph" w:styleId="NormalWeb">
    <w:name w:val="Normal (Web)"/>
    <w:basedOn w:val="Normal"/>
    <w:uiPriority w:val="99"/>
    <w:unhideWhenUsed/>
    <w:rsid w:val="004F3E28"/>
    <w:pPr>
      <w:spacing w:before="100" w:beforeAutospacing="1" w:after="100" w:afterAutospacing="1"/>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2386">
      <w:bodyDiv w:val="1"/>
      <w:marLeft w:val="0"/>
      <w:marRight w:val="0"/>
      <w:marTop w:val="0"/>
      <w:marBottom w:val="0"/>
      <w:divBdr>
        <w:top w:val="none" w:sz="0" w:space="0" w:color="auto"/>
        <w:left w:val="none" w:sz="0" w:space="0" w:color="auto"/>
        <w:bottom w:val="none" w:sz="0" w:space="0" w:color="auto"/>
        <w:right w:val="none" w:sz="0" w:space="0" w:color="auto"/>
      </w:divBdr>
      <w:divsChild>
        <w:div w:id="268702765">
          <w:marLeft w:val="240"/>
          <w:marRight w:val="120"/>
          <w:marTop w:val="120"/>
          <w:marBottom w:val="120"/>
          <w:divBdr>
            <w:top w:val="none" w:sz="0" w:space="0" w:color="auto"/>
            <w:left w:val="none" w:sz="0" w:space="0" w:color="auto"/>
            <w:bottom w:val="none" w:sz="0" w:space="0" w:color="auto"/>
            <w:right w:val="none" w:sz="0" w:space="0" w:color="auto"/>
          </w:divBdr>
        </w:div>
      </w:divsChild>
    </w:div>
    <w:div w:id="587542797">
      <w:bodyDiv w:val="1"/>
      <w:marLeft w:val="0"/>
      <w:marRight w:val="0"/>
      <w:marTop w:val="0"/>
      <w:marBottom w:val="0"/>
      <w:divBdr>
        <w:top w:val="none" w:sz="0" w:space="0" w:color="auto"/>
        <w:left w:val="none" w:sz="0" w:space="0" w:color="auto"/>
        <w:bottom w:val="none" w:sz="0" w:space="0" w:color="auto"/>
        <w:right w:val="none" w:sz="0" w:space="0" w:color="auto"/>
      </w:divBdr>
    </w:div>
    <w:div w:id="1051270146">
      <w:bodyDiv w:val="1"/>
      <w:marLeft w:val="0"/>
      <w:marRight w:val="0"/>
      <w:marTop w:val="0"/>
      <w:marBottom w:val="0"/>
      <w:divBdr>
        <w:top w:val="none" w:sz="0" w:space="0" w:color="auto"/>
        <w:left w:val="none" w:sz="0" w:space="0" w:color="auto"/>
        <w:bottom w:val="none" w:sz="0" w:space="0" w:color="auto"/>
        <w:right w:val="none" w:sz="0" w:space="0" w:color="auto"/>
      </w:divBdr>
      <w:divsChild>
        <w:div w:id="672031639">
          <w:marLeft w:val="240"/>
          <w:marRight w:val="120"/>
          <w:marTop w:val="120"/>
          <w:marBottom w:val="120"/>
          <w:divBdr>
            <w:top w:val="none" w:sz="0" w:space="0" w:color="auto"/>
            <w:left w:val="none" w:sz="0" w:space="0" w:color="auto"/>
            <w:bottom w:val="none" w:sz="0" w:space="0" w:color="auto"/>
            <w:right w:val="none" w:sz="0" w:space="0" w:color="auto"/>
          </w:divBdr>
          <w:divsChild>
            <w:div w:id="19785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leeter@usg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ould@usgs.gov" TargetMode="External"/><Relationship Id="rId5" Type="http://schemas.openxmlformats.org/officeDocument/2006/relationships/hyperlink" Target="http://astro.temple.edu/~jmennis/research/dasymetric/dasydetails/dasydetail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READ ME</vt:lpstr>
    </vt:vector>
  </TitlesOfParts>
  <Company>USGS</Company>
  <LinksUpToDate>false</LinksUpToDate>
  <CharactersWithSpaces>4907</CharactersWithSpaces>
  <SharedDoc>false</SharedDoc>
  <HLinks>
    <vt:vector size="18" baseType="variant">
      <vt:variant>
        <vt:i4>2949129</vt:i4>
      </vt:variant>
      <vt:variant>
        <vt:i4>6</vt:i4>
      </vt:variant>
      <vt:variant>
        <vt:i4>0</vt:i4>
      </vt:variant>
      <vt:variant>
        <vt:i4>5</vt:i4>
      </vt:variant>
      <vt:variant>
        <vt:lpwstr>mailto:rsleeter@usgs.gov</vt:lpwstr>
      </vt:variant>
      <vt:variant>
        <vt:lpwstr/>
      </vt:variant>
      <vt:variant>
        <vt:i4>6094959</vt:i4>
      </vt:variant>
      <vt:variant>
        <vt:i4>3</vt:i4>
      </vt:variant>
      <vt:variant>
        <vt:i4>0</vt:i4>
      </vt:variant>
      <vt:variant>
        <vt:i4>5</vt:i4>
      </vt:variant>
      <vt:variant>
        <vt:lpwstr>mailto:mgould@usgs.gov</vt:lpwstr>
      </vt:variant>
      <vt:variant>
        <vt:lpwstr/>
      </vt:variant>
      <vt:variant>
        <vt:i4>1441882</vt:i4>
      </vt:variant>
      <vt:variant>
        <vt:i4>0</vt:i4>
      </vt:variant>
      <vt:variant>
        <vt:i4>0</vt:i4>
      </vt:variant>
      <vt:variant>
        <vt:i4>5</vt:i4>
      </vt:variant>
      <vt:variant>
        <vt:lpwstr>http://astro.temple.edu/~jmennis/research/dasymetric/dasydetails/dasydetails.htm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ME</dc:title>
  <dc:subject/>
  <dc:creator>admin</dc:creator>
  <cp:keywords/>
  <dc:description/>
  <cp:lastModifiedBy>Sleeter, Benjamin M.</cp:lastModifiedBy>
  <cp:revision>4</cp:revision>
  <dcterms:created xsi:type="dcterms:W3CDTF">2011-09-26T23:06:00Z</dcterms:created>
  <dcterms:modified xsi:type="dcterms:W3CDTF">2014-10-22T20:34:00Z</dcterms:modified>
</cp:coreProperties>
</file>